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sz w:val="20"/>
          <w:szCs w:val="20"/>
        </w:rPr>
      </w:pPr>
      <w:r>
        <w:rPr>
          <w:rFonts w:cs="Arial" w:ascii="Arial" w:hAnsi="Arial"/>
          <w:b/>
          <w:bCs/>
          <w:sz w:val="20"/>
          <w:szCs w:val="20"/>
        </w:rPr>
        <w:t xml:space="preserve"> </w:t>
      </w:r>
      <w:r>
        <w:rPr>
          <w:rFonts w:cs="Arial" w:ascii="Arial" w:hAnsi="Arial"/>
          <w:b/>
          <w:bCs/>
          <w:sz w:val="20"/>
          <w:szCs w:val="20"/>
        </w:rPr>
        <w:t>MOTIE (Vreemd Aan de Orde) nr. M</w:t>
      </w:r>
    </w:p>
    <w:p>
      <w:pPr>
        <w:pStyle w:val="Normal"/>
        <w:rPr>
          <w:rFonts w:ascii="Arial" w:hAnsi="Arial" w:cs="Arial"/>
          <w:sz w:val="20"/>
          <w:szCs w:val="20"/>
        </w:rPr>
      </w:pPr>
      <w:r>
        <w:rPr>
          <w:rFonts w:cs="Arial" w:ascii="Arial" w:hAnsi="Arial"/>
          <w:i/>
          <w:iCs/>
          <w:sz w:val="20"/>
          <w:szCs w:val="20"/>
        </w:rPr>
        <w:tab/>
        <w:tab/>
        <w:tab/>
      </w:r>
    </w:p>
    <w:tbl>
      <w:tblPr>
        <w:tblStyle w:val="Tabelraster"/>
        <w:tblW w:w="90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830"/>
        <w:gridCol w:w="6225"/>
      </w:tblGrid>
      <w:tr>
        <w:trPr/>
        <w:tc>
          <w:tcPr>
            <w:tcW w:w="2830" w:type="dxa"/>
            <w:tcBorders/>
          </w:tcPr>
          <w:p>
            <w:pPr>
              <w:pStyle w:val="Normal"/>
              <w:widowControl/>
              <w:suppressAutoHyphens w:val="true"/>
              <w:spacing w:before="0" w:after="0"/>
              <w:jc w:val="left"/>
              <w:rPr>
                <w:rFonts w:ascii="Arial" w:hAnsi="Arial" w:cs="Arial"/>
                <w:sz w:val="20"/>
                <w:szCs w:val="20"/>
              </w:rPr>
            </w:pPr>
            <w:r>
              <w:rPr>
                <w:rFonts w:eastAsia="Calibri" w:cs="Arial" w:ascii="Arial" w:hAnsi="Arial"/>
                <w:kern w:val="0"/>
                <w:sz w:val="20"/>
                <w:szCs w:val="20"/>
                <w:lang w:val="nl-NL" w:eastAsia="en-US" w:bidi="ar-SA"/>
              </w:rPr>
              <w:t>Indiener(s)/politieke partij</w:t>
            </w:r>
          </w:p>
        </w:tc>
        <w:tc>
          <w:tcPr>
            <w:tcW w:w="6225" w:type="dxa"/>
            <w:tcBorders/>
          </w:tcPr>
          <w:p>
            <w:pPr>
              <w:pStyle w:val="Normal"/>
              <w:widowControl/>
              <w:suppressAutoHyphens w:val="true"/>
              <w:spacing w:before="0" w:after="0"/>
              <w:jc w:val="left"/>
              <w:rPr>
                <w:rFonts w:ascii="Arial" w:hAnsi="Arial" w:cs="Arial"/>
                <w:sz w:val="20"/>
                <w:szCs w:val="20"/>
              </w:rPr>
            </w:pPr>
            <w:r>
              <w:rPr>
                <w:rFonts w:eastAsia="Calibri" w:cs="Arial" w:ascii="Arial" w:hAnsi="Arial"/>
                <w:kern w:val="0"/>
                <w:sz w:val="20"/>
                <w:szCs w:val="20"/>
                <w:lang w:val="nl-NL" w:eastAsia="en-US" w:bidi="ar-SA"/>
              </w:rPr>
              <w:t>Het Geluid van Blaricum</w:t>
            </w:r>
          </w:p>
        </w:tc>
      </w:tr>
      <w:tr>
        <w:trPr/>
        <w:tc>
          <w:tcPr>
            <w:tcW w:w="2830" w:type="dxa"/>
            <w:tcBorders/>
          </w:tcPr>
          <w:p>
            <w:pPr>
              <w:pStyle w:val="Normal"/>
              <w:widowControl/>
              <w:suppressAutoHyphens w:val="true"/>
              <w:spacing w:before="0" w:after="0"/>
              <w:jc w:val="left"/>
              <w:rPr>
                <w:rFonts w:ascii="Arial" w:hAnsi="Arial" w:cs="Arial"/>
                <w:sz w:val="20"/>
                <w:szCs w:val="20"/>
              </w:rPr>
            </w:pPr>
            <w:r>
              <w:rPr>
                <w:rFonts w:eastAsia="Calibri" w:cs="Arial" w:ascii="Arial" w:hAnsi="Arial"/>
                <w:kern w:val="0"/>
                <w:sz w:val="20"/>
                <w:szCs w:val="20"/>
                <w:lang w:val="nl-NL" w:eastAsia="en-US" w:bidi="ar-SA"/>
              </w:rPr>
              <w:t>Datum raadsvergadering</w:t>
            </w:r>
          </w:p>
        </w:tc>
        <w:tc>
          <w:tcPr>
            <w:tcW w:w="6225" w:type="dxa"/>
            <w:tcBorders/>
          </w:tcPr>
          <w:p>
            <w:pPr>
              <w:pStyle w:val="Normal"/>
              <w:widowControl/>
              <w:suppressAutoHyphens w:val="true"/>
              <w:spacing w:before="0" w:after="0"/>
              <w:jc w:val="left"/>
              <w:rPr>
                <w:rFonts w:ascii="Arial" w:hAnsi="Arial" w:cs="Arial"/>
                <w:sz w:val="20"/>
                <w:szCs w:val="20"/>
              </w:rPr>
            </w:pPr>
            <w:r>
              <w:rPr>
                <w:rFonts w:eastAsia="Calibri" w:cs="Arial" w:ascii="Arial" w:hAnsi="Arial"/>
                <w:kern w:val="0"/>
                <w:sz w:val="20"/>
                <w:szCs w:val="20"/>
                <w:lang w:val="nl-NL" w:eastAsia="en-US" w:bidi="ar-SA"/>
              </w:rPr>
              <w:t>27 oktober 2026</w:t>
            </w:r>
          </w:p>
        </w:tc>
      </w:tr>
      <w:tr>
        <w:trPr/>
        <w:tc>
          <w:tcPr>
            <w:tcW w:w="2830" w:type="dxa"/>
            <w:tcBorders/>
          </w:tcPr>
          <w:p>
            <w:pPr>
              <w:pStyle w:val="Normal"/>
              <w:widowControl/>
              <w:suppressAutoHyphens w:val="true"/>
              <w:spacing w:before="0" w:after="0"/>
              <w:jc w:val="left"/>
              <w:rPr>
                <w:rFonts w:ascii="Arial" w:hAnsi="Arial" w:cs="Arial"/>
                <w:sz w:val="20"/>
                <w:szCs w:val="20"/>
              </w:rPr>
            </w:pPr>
            <w:r>
              <w:rPr>
                <w:rFonts w:eastAsia="Calibri" w:cs="Arial" w:ascii="Arial" w:hAnsi="Arial"/>
                <w:kern w:val="0"/>
                <w:sz w:val="20"/>
                <w:szCs w:val="20"/>
                <w:lang w:val="nl-NL" w:eastAsia="en-US" w:bidi="ar-SA"/>
              </w:rPr>
              <w:t>Onderwerp</w:t>
            </w:r>
          </w:p>
        </w:tc>
        <w:tc>
          <w:tcPr>
            <w:tcW w:w="6225" w:type="dxa"/>
            <w:tcBorders/>
          </w:tcPr>
          <w:p>
            <w:pPr>
              <w:pStyle w:val="Normal"/>
              <w:widowControl/>
              <w:suppressAutoHyphens w:val="true"/>
              <w:spacing w:before="0" w:after="0"/>
              <w:jc w:val="left"/>
              <w:rPr>
                <w:rFonts w:ascii="Arial" w:hAnsi="Arial" w:cs="Arial"/>
                <w:sz w:val="20"/>
                <w:szCs w:val="20"/>
              </w:rPr>
            </w:pPr>
            <w:r>
              <w:rPr>
                <w:rFonts w:eastAsia="Calibri" w:cs="Arial" w:ascii="Arial" w:hAnsi="Arial"/>
                <w:kern w:val="0"/>
                <w:sz w:val="20"/>
                <w:szCs w:val="20"/>
                <w:lang w:val="nl-NL" w:eastAsia="en-US" w:bidi="ar-SA"/>
              </w:rPr>
              <w:t>Camperplaats Blaricum</w:t>
            </w:r>
          </w:p>
        </w:tc>
      </w:tr>
    </w:tbl>
    <w:p>
      <w:pPr>
        <w:pStyle w:val="Normal"/>
        <w:rPr>
          <w:rFonts w:ascii="Arial" w:hAnsi="Arial" w:cs="Arial"/>
          <w:sz w:val="20"/>
          <w:szCs w:val="20"/>
        </w:rPr>
      </w:pPr>
      <w:r>
        <w:rPr>
          <w:rFonts w:cs="Arial" w:ascii="Arial" w:hAnsi="Arial"/>
          <w:sz w:val="20"/>
          <w:szCs w:val="20"/>
        </w:rPr>
      </w:r>
    </w:p>
    <w:p>
      <w:pPr>
        <w:pStyle w:val="Normal"/>
        <w:rPr>
          <w:rFonts w:ascii="Arial" w:hAnsi="Arial" w:cs="Arial"/>
          <w:b/>
          <w:bCs/>
          <w:sz w:val="20"/>
          <w:szCs w:val="20"/>
        </w:rPr>
      </w:pPr>
      <w:r>
        <w:rPr>
          <w:rFonts w:cs="Arial" w:ascii="Arial" w:hAnsi="Arial"/>
          <w:b/>
          <w:bCs/>
          <w:sz w:val="20"/>
          <w:szCs w:val="20"/>
        </w:rPr>
        <w:t xml:space="preserve">De gemeenteraad van Blaricum in vergadering bijeen op 27 oktober 2026, </w:t>
      </w:r>
    </w:p>
    <w:p>
      <w:pPr>
        <w:pStyle w:val="Normal"/>
        <w:rPr>
          <w:rFonts w:ascii="Arial" w:hAnsi="Arial" w:cs="Arial"/>
          <w:b/>
          <w:bCs/>
          <w:sz w:val="20"/>
          <w:szCs w:val="20"/>
        </w:rPr>
      </w:pPr>
      <w:r>
        <w:rPr>
          <w:rFonts w:cs="Arial" w:ascii="Arial" w:hAnsi="Arial"/>
          <w:b/>
          <w:bCs/>
          <w:sz w:val="20"/>
          <w:szCs w:val="20"/>
        </w:rPr>
      </w:r>
    </w:p>
    <w:p>
      <w:pPr>
        <w:pStyle w:val="Normal"/>
        <w:rPr>
          <w:rFonts w:ascii="Arial" w:hAnsi="Arial" w:cs="Arial"/>
          <w:b/>
          <w:bCs/>
          <w:sz w:val="20"/>
          <w:szCs w:val="20"/>
        </w:rPr>
      </w:pPr>
      <w:r>
        <w:rPr>
          <w:rFonts w:cs="Arial" w:ascii="Arial" w:hAnsi="Arial"/>
          <w:b/>
          <w:bCs/>
          <w:sz w:val="20"/>
          <w:szCs w:val="20"/>
        </w:rPr>
        <w:t xml:space="preserve">Constaterende dat: </w:t>
      </w:r>
    </w:p>
    <w:p>
      <w:pPr>
        <w:pStyle w:val="ListBullet"/>
        <w:numPr>
          <w:ilvl w:val="0"/>
          <w:numId w:val="2"/>
        </w:numPr>
        <w:rPr>
          <w:rFonts w:ascii="Arial" w:hAnsi="Arial"/>
          <w:sz w:val="20"/>
          <w:szCs w:val="20"/>
        </w:rPr>
      </w:pPr>
      <w:r>
        <w:rPr>
          <w:rFonts w:ascii="Arial" w:hAnsi="Arial"/>
          <w:sz w:val="20"/>
          <w:szCs w:val="20"/>
        </w:rPr>
        <w:t>er volgens het NKC in Nederland inmiddels circa 210.000 campers geregistreerd staan en dat het camperbezit groeit;</w:t>
      </w:r>
    </w:p>
    <w:p>
      <w:pPr>
        <w:pStyle w:val="ListBullet"/>
        <w:numPr>
          <w:ilvl w:val="0"/>
          <w:numId w:val="2"/>
        </w:numPr>
        <w:rPr>
          <w:rFonts w:ascii="Arial" w:hAnsi="Arial"/>
          <w:sz w:val="20"/>
          <w:szCs w:val="20"/>
        </w:rPr>
      </w:pPr>
      <w:r>
        <w:rPr>
          <w:rFonts w:ascii="Arial" w:hAnsi="Arial"/>
          <w:sz w:val="20"/>
          <w:szCs w:val="20"/>
        </w:rPr>
        <w:t>camperaars door de voorzieningen in hun camper veelal zelfvoorzienend zijn en voor een korte overnachting weinig voorzieningen nodig hebben;</w:t>
      </w:r>
    </w:p>
    <w:p>
      <w:pPr>
        <w:pStyle w:val="ListBullet"/>
        <w:numPr>
          <w:ilvl w:val="0"/>
          <w:numId w:val="2"/>
        </w:numPr>
        <w:rPr>
          <w:rFonts w:ascii="Arial" w:hAnsi="Arial"/>
          <w:sz w:val="20"/>
          <w:szCs w:val="20"/>
        </w:rPr>
      </w:pPr>
      <w:r>
        <w:rPr>
          <w:rFonts w:ascii="Arial" w:hAnsi="Arial"/>
          <w:sz w:val="20"/>
          <w:szCs w:val="20"/>
        </w:rPr>
        <w:t>het NKC een bestaande openbare parkeerplaats expliciet noemt als mogelijke locatie voor een camperlocatie en onderscheid maakt tussen een eenvoudige/basic camperlocatie en een camping of recreatieterrein;</w:t>
      </w:r>
    </w:p>
    <w:p>
      <w:pPr>
        <w:pStyle w:val="ListBullet"/>
        <w:numPr>
          <w:ilvl w:val="0"/>
          <w:numId w:val="2"/>
        </w:numPr>
        <w:rPr>
          <w:rFonts w:ascii="Arial" w:hAnsi="Arial"/>
          <w:sz w:val="20"/>
          <w:szCs w:val="20"/>
        </w:rPr>
      </w:pPr>
      <w:r>
        <w:rPr>
          <w:rFonts w:ascii="Arial" w:hAnsi="Arial"/>
          <w:sz w:val="20"/>
          <w:szCs w:val="20"/>
        </w:rPr>
        <w:t>Blaricum, in tegenstelling tot onder meer Laren en Huizen, momenteel geen aangewezen openbare camperplaats heeft;</w:t>
      </w:r>
    </w:p>
    <w:p>
      <w:pPr>
        <w:pStyle w:val="ListBullet"/>
        <w:numPr>
          <w:ilvl w:val="0"/>
          <w:numId w:val="2"/>
        </w:numPr>
        <w:rPr>
          <w:rFonts w:ascii="Arial" w:hAnsi="Arial"/>
          <w:sz w:val="20"/>
          <w:szCs w:val="20"/>
        </w:rPr>
      </w:pPr>
      <w:r>
        <w:rPr>
          <w:rFonts w:ascii="Arial" w:hAnsi="Arial"/>
          <w:sz w:val="20"/>
          <w:szCs w:val="20"/>
        </w:rPr>
        <w:t>de bestaande parkeerplaats bij het Stichtse Strand al een verkeerskundige functie als openbare parkeerplaats heeft en het college in 2026 voor deze parkeerplaats een nachtelijk parkeerverbod heeft ingesteld van 23.00 tot 06.00 uur;</w:t>
      </w:r>
    </w:p>
    <w:p>
      <w:pPr>
        <w:pStyle w:val="ListBullet"/>
        <w:numPr>
          <w:ilvl w:val="0"/>
          <w:numId w:val="2"/>
        </w:numPr>
        <w:rPr>
          <w:rFonts w:ascii="Arial" w:hAnsi="Arial"/>
          <w:sz w:val="20"/>
          <w:szCs w:val="20"/>
        </w:rPr>
      </w:pPr>
      <w:r>
        <w:rPr>
          <w:rFonts w:ascii="Arial" w:hAnsi="Arial"/>
          <w:sz w:val="20"/>
          <w:szCs w:val="20"/>
        </w:rPr>
        <w:t>de beoogde camperplaatsen kunnen worden gerealiseerd binnen de bestaande parkeerfunctie, zonder uitbreiding van de parkeerplaats naar aangrenzende natuur of groen;</w:t>
      </w:r>
    </w:p>
    <w:p>
      <w:pPr>
        <w:pStyle w:val="ListBullet"/>
        <w:numPr>
          <w:ilvl w:val="0"/>
          <w:numId w:val="2"/>
        </w:numPr>
        <w:rPr>
          <w:rFonts w:ascii="Arial" w:hAnsi="Arial"/>
          <w:sz w:val="20"/>
          <w:szCs w:val="20"/>
        </w:rPr>
      </w:pPr>
      <w:r>
        <w:rPr>
          <w:rFonts w:ascii="Arial" w:hAnsi="Arial"/>
          <w:sz w:val="20"/>
          <w:szCs w:val="20"/>
        </w:rPr>
        <w:t>het NKC aangeeft dat bij een openbare camperlocatie duidelijke aanduiding, afbakening, veiligheidsvoorschriften en huisregels van belang zijn en dat voor een basic camperlocatie geen campingvoorzieningen nodig zijn;</w:t>
      </w:r>
    </w:p>
    <w:p>
      <w:pPr>
        <w:pStyle w:val="Normal"/>
        <w:rPr>
          <w:rFonts w:ascii="Arial" w:hAnsi="Arial" w:cs="Arial"/>
          <w:iCs/>
          <w:sz w:val="20"/>
          <w:szCs w:val="20"/>
        </w:rPr>
      </w:pPr>
      <w:r>
        <w:rPr>
          <w:rFonts w:cs="Arial" w:ascii="Arial" w:hAnsi="Arial"/>
          <w:iCs/>
          <w:sz w:val="20"/>
          <w:szCs w:val="20"/>
        </w:rPr>
      </w:r>
    </w:p>
    <w:p>
      <w:pPr>
        <w:pStyle w:val="Normal"/>
        <w:rPr>
          <w:rFonts w:ascii="Arial" w:hAnsi="Arial"/>
          <w:sz w:val="20"/>
          <w:szCs w:val="20"/>
        </w:rPr>
      </w:pPr>
      <w:r>
        <w:rPr>
          <w:rFonts w:cs="Arial" w:ascii="Arial" w:hAnsi="Arial"/>
          <w:b/>
          <w:bCs/>
          <w:sz w:val="20"/>
          <w:szCs w:val="20"/>
        </w:rPr>
        <w:t xml:space="preserve">Overwegende dat: </w:t>
      </w:r>
    </w:p>
    <w:p>
      <w:pPr>
        <w:pStyle w:val="ListBullet"/>
        <w:numPr>
          <w:ilvl w:val="0"/>
          <w:numId w:val="3"/>
        </w:numPr>
        <w:rPr>
          <w:rFonts w:ascii="Arial" w:hAnsi="Arial"/>
          <w:sz w:val="20"/>
          <w:szCs w:val="20"/>
        </w:rPr>
      </w:pPr>
      <w:r>
        <w:rPr>
          <w:rFonts w:ascii="Arial" w:hAnsi="Arial"/>
          <w:sz w:val="20"/>
          <w:szCs w:val="20"/>
        </w:rPr>
        <w:t>een beperkte voorziening voor uitsluitend campers die op de bestaande parkeerplaats mogen parkeren én overnachten, een andere functie heeft dan een camping of recreatieterrein;</w:t>
      </w:r>
    </w:p>
    <w:p>
      <w:pPr>
        <w:pStyle w:val="ListBullet"/>
        <w:numPr>
          <w:ilvl w:val="0"/>
          <w:numId w:val="3"/>
        </w:numPr>
        <w:rPr>
          <w:rFonts w:ascii="Arial" w:hAnsi="Arial"/>
          <w:sz w:val="20"/>
          <w:szCs w:val="20"/>
        </w:rPr>
      </w:pPr>
      <w:r>
        <w:rPr>
          <w:rFonts w:ascii="Arial" w:hAnsi="Arial"/>
          <w:sz w:val="20"/>
          <w:szCs w:val="20"/>
        </w:rPr>
        <w:t>het uitgangspunt moet zijn dat uitsluitend het overnachten in de camper wordt toegestaan en dat campinggedrag niet is toegestaan, waaronder het buiten plaatsen van luifel, tafel, stoelen of andere kampeermiddelen;</w:t>
      </w:r>
    </w:p>
    <w:p>
      <w:pPr>
        <w:pStyle w:val="ListBullet"/>
        <w:numPr>
          <w:ilvl w:val="0"/>
          <w:numId w:val="3"/>
        </w:numPr>
        <w:rPr>
          <w:rFonts w:ascii="Arial" w:hAnsi="Arial"/>
          <w:sz w:val="20"/>
          <w:szCs w:val="20"/>
        </w:rPr>
      </w:pPr>
      <w:r>
        <w:rPr>
          <w:rFonts w:ascii="Arial" w:hAnsi="Arial"/>
          <w:sz w:val="20"/>
          <w:szCs w:val="20"/>
        </w:rPr>
        <w:t>het NKC voor een openbare/basic camperlocatie minimale voorzieningen beschrijft en aangeeft dat een camper voor meerdere dagen zelf drinkwater en afvalwater kan meenemen en opslaan; een aansluiting op elektriciteit is geen vereiste;</w:t>
      </w:r>
    </w:p>
    <w:p>
      <w:pPr>
        <w:pStyle w:val="ListBullet"/>
        <w:numPr>
          <w:ilvl w:val="0"/>
          <w:numId w:val="3"/>
        </w:numPr>
        <w:rPr>
          <w:rFonts w:ascii="Arial" w:hAnsi="Arial"/>
          <w:sz w:val="20"/>
          <w:szCs w:val="20"/>
        </w:rPr>
      </w:pPr>
      <w:r>
        <w:rPr>
          <w:rFonts w:ascii="Arial" w:hAnsi="Arial"/>
          <w:sz w:val="20"/>
          <w:szCs w:val="20"/>
        </w:rPr>
        <w:t>bij de inrichting rekening moet worden gehouden met de veiligheid van campers en hulpdiensten, waaronder voldoende manoeuvreerruimte, zichtbare vluchtroutes en voldoende onderlinge afstand tussen campers;</w:t>
      </w:r>
    </w:p>
    <w:p>
      <w:pPr>
        <w:pStyle w:val="ListBullet"/>
        <w:numPr>
          <w:ilvl w:val="0"/>
          <w:numId w:val="3"/>
        </w:numPr>
        <w:rPr>
          <w:rFonts w:ascii="Arial" w:hAnsi="Arial"/>
          <w:sz w:val="20"/>
          <w:szCs w:val="20"/>
        </w:rPr>
      </w:pPr>
      <w:r>
        <w:rPr>
          <w:rFonts w:ascii="Arial" w:hAnsi="Arial"/>
          <w:sz w:val="20"/>
          <w:szCs w:val="20"/>
        </w:rPr>
        <w:t>de ligging van het Stichtse Strand bijzondere aandacht vraagt voor natuur en landschap en dat bij iedere voorziening aantasting van NNN-waarden en andere natuurwaarden moet worden voorkomen;</w:t>
      </w:r>
    </w:p>
    <w:p>
      <w:pPr>
        <w:pStyle w:val="ListBullet"/>
        <w:numPr>
          <w:ilvl w:val="0"/>
          <w:numId w:val="3"/>
        </w:numPr>
        <w:rPr>
          <w:rFonts w:ascii="Arial" w:hAnsi="Arial"/>
          <w:sz w:val="20"/>
          <w:szCs w:val="20"/>
        </w:rPr>
      </w:pPr>
      <w:r>
        <w:rPr>
          <w:rFonts w:ascii="Arial" w:hAnsi="Arial"/>
          <w:sz w:val="20"/>
          <w:szCs w:val="20"/>
        </w:rPr>
        <w:t>de beoogde voorziening uitsluitend betrekking heeft op een bestaande parkeerplaats en niet op het toevoegen van parkeerplaatsen, verharding of voorzieningen in aangrenzend natuurgebied;</w:t>
      </w:r>
    </w:p>
    <w:p>
      <w:pPr>
        <w:pStyle w:val="ListBullet"/>
        <w:numPr>
          <w:ilvl w:val="0"/>
          <w:numId w:val="3"/>
        </w:numPr>
        <w:rPr>
          <w:rFonts w:ascii="Arial" w:hAnsi="Arial"/>
          <w:sz w:val="20"/>
          <w:szCs w:val="20"/>
        </w:rPr>
      </w:pPr>
      <w:r>
        <w:rPr>
          <w:rFonts w:ascii="Arial" w:hAnsi="Arial"/>
          <w:sz w:val="20"/>
          <w:szCs w:val="20"/>
        </w:rPr>
        <w:t>afstemming met de relevante stakeholders, waaronder provincie Noord-Holland, Rijkswaterstaat voor zover bevoegd, de terrein-/grondeigenaar en -beheerder, omwonenden en de Vrienden van het Gooi, wenselijk is om natuur-, water-, verkeers- en beheerbelangen vooraf zorgvuldig in beeld te brengen;</w:t>
      </w:r>
    </w:p>
    <w:p>
      <w:pPr>
        <w:pStyle w:val="ListBullet"/>
        <w:numPr>
          <w:ilvl w:val="0"/>
          <w:numId w:val="3"/>
        </w:numPr>
        <w:rPr>
          <w:rFonts w:ascii="Arial" w:hAnsi="Arial"/>
          <w:sz w:val="20"/>
          <w:szCs w:val="20"/>
        </w:rPr>
      </w:pPr>
      <w:r>
        <w:rPr>
          <w:rFonts w:ascii="Arial" w:hAnsi="Arial"/>
          <w:sz w:val="20"/>
          <w:szCs w:val="20"/>
        </w:rPr>
        <w:t>de gemeentelijke Omgevingsvisie 2040 uitgaat van een balans tussen recreatieve activiteiten en natuur en specifiek de combinatie van waterrecreatie, natuur en natuurbeleving op het Gooi- en Eemmeer en het Stichtse Strand benoemt;</w:t>
      </w:r>
    </w:p>
    <w:p>
      <w:pPr>
        <w:pStyle w:val="ListBullet"/>
        <w:numPr>
          <w:ilvl w:val="0"/>
          <w:numId w:val="3"/>
        </w:numPr>
        <w:rPr>
          <w:rFonts w:ascii="Arial" w:hAnsi="Arial"/>
          <w:sz w:val="20"/>
          <w:szCs w:val="20"/>
        </w:rPr>
      </w:pPr>
      <w:r>
        <w:rPr>
          <w:rFonts w:cs="Calibri" w:ascii="Arial" w:hAnsi="Arial" w:cstheme="minorHAnsi"/>
          <w:color w:val="333333"/>
          <w:sz w:val="20"/>
          <w:szCs w:val="20"/>
          <w:shd w:fill="FFFFFF" w:val="clear"/>
        </w:rPr>
        <w:t>de huidige gemeentelijke regelgeving inzake recreatief nachtverblijf buiten kampeerterreinen en de recente verkeersmaatregel op de parkeerplaats moeten worden betrokken bij de juridische uitwerking;</w:t>
      </w:r>
    </w:p>
    <w:p>
      <w:pPr>
        <w:pStyle w:val="ListBullet"/>
        <w:numPr>
          <w:ilvl w:val="0"/>
          <w:numId w:val="0"/>
        </w:numPr>
        <w:ind w:hanging="0" w:left="360"/>
        <w:rPr>
          <w:rFonts w:ascii="Arial" w:hAnsi="Arial"/>
          <w:sz w:val="20"/>
          <w:szCs w:val="20"/>
        </w:rPr>
      </w:pPr>
      <w:r>
        <w:rPr>
          <w:rFonts w:cs="Arial" w:ascii="Arial" w:hAnsi="Arial"/>
          <w:iCs/>
          <w:sz w:val="20"/>
          <w:szCs w:val="20"/>
        </w:rPr>
      </w:r>
    </w:p>
    <w:p>
      <w:pPr>
        <w:pStyle w:val="Normal"/>
        <w:rPr>
          <w:rFonts w:ascii="Arial" w:hAnsi="Arial"/>
          <w:sz w:val="20"/>
          <w:szCs w:val="20"/>
        </w:rPr>
      </w:pPr>
      <w:r>
        <w:rPr>
          <w:rFonts w:cs="Arial" w:ascii="Arial" w:hAnsi="Arial"/>
          <w:b/>
          <w:bCs/>
          <w:sz w:val="20"/>
          <w:szCs w:val="20"/>
        </w:rPr>
        <w:t>Verzoekt het college:</w:t>
      </w:r>
    </w:p>
    <w:p>
      <w:pPr>
        <w:pStyle w:val="ListNumber"/>
        <w:numPr>
          <w:ilvl w:val="0"/>
          <w:numId w:val="4"/>
        </w:numPr>
        <w:rPr>
          <w:rFonts w:ascii="Arial" w:hAnsi="Arial"/>
          <w:sz w:val="20"/>
          <w:szCs w:val="20"/>
        </w:rPr>
      </w:pPr>
      <w:r>
        <w:rPr>
          <w:rFonts w:ascii="Arial" w:hAnsi="Arial"/>
          <w:sz w:val="20"/>
          <w:szCs w:val="20"/>
        </w:rPr>
        <w:t>in overleg met het NKC en de relevante stakeholders te onderzoeken of op de bestaande parkeerplaats bij het Stichtse Strand een beperkte openbare camperplaats kan worden aangewezen van maximaal 5 à 10 camperplaatsen, waarbij geen uitbreiding van de bestaande parkeerplaats richting natuur of groen plaatsvindt;</w:t>
      </w:r>
    </w:p>
    <w:p>
      <w:pPr>
        <w:pStyle w:val="ListNumber"/>
        <w:numPr>
          <w:ilvl w:val="0"/>
          <w:numId w:val="4"/>
        </w:numPr>
        <w:rPr>
          <w:rFonts w:ascii="Arial" w:hAnsi="Arial"/>
          <w:sz w:val="20"/>
          <w:szCs w:val="20"/>
        </w:rPr>
      </w:pPr>
      <w:r>
        <w:rPr>
          <w:rFonts w:ascii="Arial" w:hAnsi="Arial"/>
          <w:sz w:val="20"/>
          <w:szCs w:val="20"/>
        </w:rPr>
        <w:t>daarbij als uitgangspunt te hanteren dat de voorziening uitsluitend bedoeld is voor het parkeren en overnachten van campers en uitdrukkelijk niet voor kamperen, verblijfsrecreatie, een camping of camperpark;</w:t>
      </w:r>
    </w:p>
    <w:p>
      <w:pPr>
        <w:pStyle w:val="ListNumber"/>
        <w:numPr>
          <w:ilvl w:val="0"/>
          <w:numId w:val="4"/>
        </w:numPr>
        <w:rPr>
          <w:rFonts w:ascii="Arial" w:hAnsi="Arial"/>
          <w:sz w:val="20"/>
          <w:szCs w:val="20"/>
        </w:rPr>
      </w:pPr>
      <w:r>
        <w:rPr>
          <w:rFonts w:ascii="Arial" w:hAnsi="Arial"/>
          <w:sz w:val="20"/>
          <w:szCs w:val="20"/>
        </w:rPr>
        <w:t>in de juridische uitwerking expliciet te laten vastleggen welke regels, aanwijzingsbesluiten, verkeersbesluiten en/of aanpassingen in het omgevingsplan en de gemeentelijke verordeningen nodig zijn om uitsluitend dit gebruik voor overnachten toe te staan, waaronder de verhouding tot artikel 3.56 en 3.57 van de Verordening fysieke leefomgeving Blaricum;</w:t>
      </w:r>
    </w:p>
    <w:p>
      <w:pPr>
        <w:pStyle w:val="ListNumber"/>
        <w:numPr>
          <w:ilvl w:val="0"/>
          <w:numId w:val="4"/>
        </w:numPr>
        <w:rPr>
          <w:rFonts w:ascii="Arial" w:hAnsi="Arial"/>
          <w:sz w:val="20"/>
          <w:szCs w:val="20"/>
        </w:rPr>
      </w:pPr>
      <w:r>
        <w:rPr>
          <w:rFonts w:ascii="Arial" w:hAnsi="Arial"/>
          <w:sz w:val="20"/>
          <w:szCs w:val="20"/>
        </w:rPr>
        <w:t>te onderzoeken hoe het in mei 2026 ingestelde parkeerverbod tussen 23.00 en 06.00 uur juridisch en verkeerskundig kan worden aangepast of uitgezonderd voor de aangewezen camperplaatsen, zonder dat daarmee het bredere nachtelijke toegangs- en parkeerregime voor het Stichtse Strand wordt verruimd;</w:t>
      </w:r>
    </w:p>
    <w:p>
      <w:pPr>
        <w:pStyle w:val="ListNumber"/>
        <w:numPr>
          <w:ilvl w:val="0"/>
          <w:numId w:val="4"/>
        </w:numPr>
        <w:rPr>
          <w:rFonts w:ascii="Arial" w:hAnsi="Arial"/>
          <w:sz w:val="20"/>
          <w:szCs w:val="20"/>
        </w:rPr>
      </w:pPr>
      <w:r>
        <w:rPr>
          <w:rFonts w:ascii="Arial" w:hAnsi="Arial"/>
          <w:sz w:val="20"/>
          <w:szCs w:val="20"/>
        </w:rPr>
        <w:t>als randvoorwaarden op te nemen dat geen campinggedrag wordt toegestaan, waaronder het plaatsen van luifels, tafels, stoelen, tenten of andere losse kampeermiddelen buiten de camper, en dat een maximale verblijfsduur wordt vastgesteld;</w:t>
      </w:r>
    </w:p>
    <w:p>
      <w:pPr>
        <w:pStyle w:val="ListNumber"/>
        <w:numPr>
          <w:ilvl w:val="0"/>
          <w:numId w:val="4"/>
        </w:numPr>
        <w:rPr>
          <w:rFonts w:ascii="Arial" w:hAnsi="Arial"/>
          <w:sz w:val="20"/>
          <w:szCs w:val="20"/>
        </w:rPr>
      </w:pPr>
      <w:r>
        <w:rPr>
          <w:rFonts w:ascii="Arial" w:hAnsi="Arial"/>
          <w:sz w:val="20"/>
          <w:szCs w:val="20"/>
        </w:rPr>
        <w:t>de camperplaatsen duidelijk aan te wijzen en te voorzien van passende bebording en huisregels, waaronder het maximumaantal plaatsen, de toegestane verblijfsduur en de gedragsregels;</w:t>
      </w:r>
    </w:p>
    <w:p>
      <w:pPr>
        <w:pStyle w:val="ListNumber"/>
        <w:numPr>
          <w:ilvl w:val="0"/>
          <w:numId w:val="4"/>
        </w:numPr>
        <w:rPr>
          <w:rFonts w:ascii="Arial" w:hAnsi="Arial"/>
          <w:sz w:val="20"/>
          <w:szCs w:val="20"/>
        </w:rPr>
      </w:pPr>
      <w:r>
        <w:rPr>
          <w:rFonts w:ascii="Arial" w:hAnsi="Arial"/>
          <w:sz w:val="20"/>
          <w:szCs w:val="20"/>
        </w:rPr>
        <w:t>bij de inrichting ten minste de relevante NKC-veiligheidsadviezen te betrekken, waaronder voldoende ruimte tussen campers, bereikbaarheid voor hulpdiensten en een zichtbare en bruikbare vluchtroute;</w:t>
      </w:r>
    </w:p>
    <w:p>
      <w:pPr>
        <w:pStyle w:val="ListNumber"/>
        <w:numPr>
          <w:ilvl w:val="0"/>
          <w:numId w:val="4"/>
        </w:numPr>
        <w:rPr>
          <w:rFonts w:ascii="Arial" w:hAnsi="Arial"/>
          <w:sz w:val="20"/>
          <w:szCs w:val="20"/>
        </w:rPr>
      </w:pPr>
      <w:r>
        <w:rPr>
          <w:rFonts w:ascii="Arial" w:hAnsi="Arial"/>
          <w:sz w:val="20"/>
          <w:szCs w:val="20"/>
        </w:rPr>
        <w:t>te onderzoeken of een sobere/basic inrichting volstaat, waarbij in eerste instantie geen elektriciteitsaansluitingen, sanitair of andere campingvoorzieningen worden aangelegd; eventuele voorzieningen voor drinkwater, afvalwater en toiletcassette alleen te realiseren indien dit ruimtelijk, milieutechnisch en financieel verantwoord is;</w:t>
      </w:r>
    </w:p>
    <w:p>
      <w:pPr>
        <w:pStyle w:val="ListNumber"/>
        <w:numPr>
          <w:ilvl w:val="0"/>
          <w:numId w:val="4"/>
        </w:numPr>
        <w:rPr>
          <w:rFonts w:ascii="Arial" w:hAnsi="Arial"/>
          <w:sz w:val="20"/>
          <w:szCs w:val="20"/>
        </w:rPr>
      </w:pPr>
      <w:r>
        <w:rPr>
          <w:rFonts w:ascii="Arial" w:hAnsi="Arial"/>
          <w:sz w:val="20"/>
          <w:szCs w:val="20"/>
        </w:rPr>
        <w:t>voorafgaand aan besluitvorming inzichtelijk te maken welke gevolgen de aanwijzing heeft voor natuur, landschap, water, bodem, verkeer, sociale veiligheid en handhaving, met als harde randvoorwaarde dat de voorziening niet leidt tot aantasting van NNN-waarden of uitbreiding naar aangrenzend natuurgebied;</w:t>
      </w:r>
    </w:p>
    <w:p>
      <w:pPr>
        <w:pStyle w:val="ListNumber"/>
        <w:numPr>
          <w:ilvl w:val="0"/>
          <w:numId w:val="4"/>
        </w:numPr>
        <w:rPr>
          <w:rFonts w:ascii="Arial" w:hAnsi="Arial"/>
          <w:sz w:val="20"/>
          <w:szCs w:val="20"/>
        </w:rPr>
      </w:pPr>
      <w:r>
        <w:rPr>
          <w:rFonts w:ascii="Arial" w:hAnsi="Arial"/>
          <w:sz w:val="20"/>
          <w:szCs w:val="20"/>
        </w:rPr>
        <w:t>de raad vóór de realisatie te informeren over de juridische route, de benodigde besluiten/vergunningen, de afspraken met betrokken stakeholders, de handhaafbaarheid, de eenmalige en structurele kosten en de eventuele inkomsten, waarbij indien relevant een onderscheid wordt gemaakt tussen een basic, standaard en eventuele uitgebreidere variant;</w:t>
      </w:r>
    </w:p>
    <w:p>
      <w:pPr>
        <w:pStyle w:val="ListNumber"/>
        <w:numPr>
          <w:ilvl w:val="0"/>
          <w:numId w:val="4"/>
        </w:numPr>
        <w:rPr>
          <w:rFonts w:ascii="Arial" w:hAnsi="Arial"/>
          <w:sz w:val="20"/>
          <w:szCs w:val="20"/>
        </w:rPr>
      </w:pPr>
      <w:r>
        <w:rPr>
          <w:rFonts w:cs="Calibri" w:ascii="Arial" w:hAnsi="Arial" w:cstheme="minorHAnsi"/>
          <w:color w:val="333333"/>
          <w:sz w:val="20"/>
          <w:szCs w:val="20"/>
          <w:shd w:fill="FFFFFF" w:val="clear"/>
        </w:rPr>
        <w:t>de raad uiterlijk vóór de behandeling van het uitvoeringsvoorstel te informeren over de uitkomsten van dit onderzoek en daarbij het advies van het NKC te betrekken.</w:t>
      </w:r>
    </w:p>
    <w:p>
      <w:pPr>
        <w:pStyle w:val="Normal"/>
        <w:rPr>
          <w:rFonts w:ascii="Arial" w:hAnsi="Arial" w:cs="Arial"/>
          <w:i/>
          <w:i/>
          <w:iCs/>
          <w:sz w:val="20"/>
          <w:szCs w:val="20"/>
        </w:rPr>
      </w:pPr>
      <w:r>
        <w:rPr>
          <w:rFonts w:cs="Arial" w:ascii="Arial" w:hAnsi="Arial"/>
          <w:i/>
          <w:iCs/>
          <w:sz w:val="20"/>
          <w:szCs w:val="20"/>
        </w:rPr>
      </w:r>
    </w:p>
    <w:p>
      <w:pPr>
        <w:pStyle w:val="Normal"/>
        <w:rPr>
          <w:rFonts w:ascii="Arial" w:hAnsi="Arial" w:cs="Arial"/>
          <w:i/>
          <w:i/>
          <w:iCs/>
          <w:sz w:val="20"/>
          <w:szCs w:val="20"/>
        </w:rPr>
      </w:pPr>
      <w:r>
        <w:rPr>
          <w:rFonts w:cs="Arial" w:ascii="Arial" w:hAnsi="Arial"/>
          <w:i/>
          <w:iCs/>
          <w:sz w:val="20"/>
          <w:szCs w:val="20"/>
        </w:rPr>
      </w:r>
    </w:p>
    <w:p>
      <w:pPr>
        <w:pStyle w:val="Normal"/>
        <w:rPr>
          <w:rFonts w:ascii="Arial" w:hAnsi="Arial" w:cs="Arial"/>
          <w:sz w:val="20"/>
          <w:szCs w:val="20"/>
        </w:rPr>
      </w:pPr>
      <w:r>
        <w:rPr>
          <w:rFonts w:cs="Arial" w:ascii="Arial" w:hAnsi="Arial"/>
          <w:sz w:val="20"/>
          <w:szCs w:val="20"/>
        </w:rPr>
        <w:t xml:space="preserve">En gaat over tot de orde van de dag. </w:t>
      </w:r>
    </w:p>
    <w:p>
      <w:pPr>
        <w:pStyle w:val="Normal"/>
        <w:rPr>
          <w:rFonts w:ascii="Arial" w:hAnsi="Arial" w:cs="Arial"/>
          <w:sz w:val="20"/>
          <w:szCs w:val="20"/>
        </w:rPr>
      </w:pPr>
      <w:r>
        <w:rPr>
          <w:rFonts w:cs="Arial" w:ascii="Arial" w:hAnsi="Arial"/>
          <w:sz w:val="20"/>
          <w:szCs w:val="20"/>
        </w:rPr>
      </w:r>
    </w:p>
    <w:p>
      <w:pPr>
        <w:pStyle w:val="Normal"/>
        <w:rPr>
          <w:rFonts w:ascii="Arial" w:hAnsi="Arial" w:cs="Arial"/>
          <w:b/>
          <w:bCs/>
          <w:sz w:val="20"/>
          <w:szCs w:val="20"/>
        </w:rPr>
      </w:pPr>
      <w:r>
        <w:rPr>
          <w:rFonts w:cs="Arial" w:ascii="Arial" w:hAnsi="Arial"/>
          <w:b/>
          <w:bCs/>
          <w:sz w:val="20"/>
          <w:szCs w:val="20"/>
        </w:rPr>
      </w:r>
    </w:p>
    <w:p>
      <w:pPr>
        <w:pStyle w:val="Normal"/>
        <w:rPr>
          <w:rFonts w:ascii="Arial" w:hAnsi="Arial" w:cs="Arial"/>
          <w:b/>
          <w:bCs/>
          <w:sz w:val="20"/>
          <w:szCs w:val="20"/>
        </w:rPr>
      </w:pPr>
      <w:r>
        <w:rPr>
          <w:rFonts w:cs="Arial" w:ascii="Arial" w:hAnsi="Arial"/>
          <w:b/>
          <w:bCs/>
          <w:sz w:val="20"/>
          <w:szCs w:val="20"/>
        </w:rPr>
        <w:t>Ondertekend door:</w:t>
      </w:r>
      <w:r>
        <w:rPr>
          <w:rFonts w:cs="Arial" w:ascii="Arial" w:hAnsi="Arial"/>
          <w:iCs/>
          <w:sz w:val="20"/>
          <w:szCs w:val="20"/>
        </w:rPr>
        <w:t xml:space="preserve">       </w:t>
      </w:r>
    </w:p>
    <w:p>
      <w:pPr>
        <w:pStyle w:val="Normal"/>
        <w:rPr>
          <w:rFonts w:ascii="Arial" w:hAnsi="Arial" w:cs="Arial"/>
          <w:b/>
          <w:bCs/>
          <w:sz w:val="20"/>
          <w:szCs w:val="20"/>
        </w:rPr>
      </w:pPr>
      <w:r>
        <w:rPr>
          <w:rFonts w:cs="Arial" w:ascii="Arial" w:hAnsi="Arial"/>
          <w:b/>
          <w:bCs/>
          <w:sz w:val="20"/>
          <w:szCs w:val="20"/>
        </w:rPr>
      </w:r>
    </w:p>
    <w:p>
      <w:pPr>
        <w:pStyle w:val="Normal"/>
        <w:rPr>
          <w:rFonts w:ascii="Arial" w:hAnsi="Arial" w:cs="Arial"/>
          <w:b/>
          <w:bCs/>
          <w:sz w:val="20"/>
          <w:szCs w:val="20"/>
        </w:rPr>
      </w:pPr>
      <w:r>
        <w:rPr/>
        <w:drawing>
          <wp:inline distT="0" distB="0" distL="0" distR="0">
            <wp:extent cx="1302385" cy="1110615"/>
            <wp:effectExtent l="0" t="0" r="0" b="0"/>
            <wp:docPr id="1" name="Afbeelding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9" descr=""/>
                    <pic:cNvPicPr>
                      <a:picLocks noChangeAspect="1" noChangeArrowheads="1"/>
                    </pic:cNvPicPr>
                  </pic:nvPicPr>
                  <pic:blipFill>
                    <a:blip r:embed="rId2"/>
                    <a:srcRect l="11392" t="4943" r="49361" b="71079"/>
                    <a:stretch>
                      <a:fillRect/>
                    </a:stretch>
                  </pic:blipFill>
                  <pic:spPr bwMode="auto">
                    <a:xfrm>
                      <a:off x="0" y="0"/>
                      <a:ext cx="1302385" cy="1110615"/>
                    </a:xfrm>
                    <a:prstGeom prst="rect">
                      <a:avLst/>
                    </a:prstGeom>
                    <a:noFill/>
                  </pic:spPr>
                </pic:pic>
              </a:graphicData>
            </a:graphic>
          </wp:inline>
        </w:drawing>
      </w:r>
    </w:p>
    <w:p>
      <w:pPr>
        <w:pStyle w:val="Normal"/>
        <w:rPr>
          <w:rFonts w:ascii="Arial" w:hAnsi="Arial" w:cs="Arial"/>
          <w:b w:val="false"/>
          <w:bCs w:val="false"/>
          <w:sz w:val="20"/>
          <w:szCs w:val="20"/>
        </w:rPr>
      </w:pPr>
      <w:r>
        <w:rPr>
          <w:rFonts w:cs="Arial" w:ascii="Arial" w:hAnsi="Arial"/>
          <w:b w:val="false"/>
          <w:bCs w:val="false"/>
          <w:sz w:val="20"/>
          <w:szCs w:val="20"/>
        </w:rPr>
      </w:r>
    </w:p>
    <w:p>
      <w:pPr>
        <w:pStyle w:val="Normal"/>
        <w:rPr>
          <w:rFonts w:ascii="Arial" w:hAnsi="Arial" w:cs="Arial"/>
          <w:b w:val="false"/>
          <w:bCs w:val="false"/>
          <w:sz w:val="20"/>
          <w:szCs w:val="20"/>
        </w:rPr>
      </w:pPr>
      <w:r>
        <w:rPr>
          <w:rFonts w:cs="Arial" w:ascii="Arial" w:hAnsi="Arial"/>
          <w:b w:val="false"/>
          <w:bCs w:val="false"/>
          <w:sz w:val="20"/>
          <w:szCs w:val="20"/>
        </w:rPr>
        <w:t>Ramona Beemsterboer</w:t>
      </w:r>
    </w:p>
    <w:p>
      <w:pPr>
        <w:pStyle w:val="Normal"/>
        <w:rPr>
          <w:rFonts w:ascii="Arial" w:hAnsi="Arial" w:cs="Arial"/>
          <w:iCs/>
          <w:sz w:val="20"/>
          <w:szCs w:val="20"/>
        </w:rPr>
      </w:pPr>
      <w:r>
        <w:rPr>
          <w:rFonts w:cs="Arial" w:ascii="Arial" w:hAnsi="Arial"/>
          <w:iCs/>
          <w:sz w:val="20"/>
          <w:szCs w:val="20"/>
        </w:rPr>
        <w:t xml:space="preserve"> </w:t>
      </w:r>
    </w:p>
    <w:p>
      <w:pPr>
        <w:pStyle w:val="Normal"/>
        <w:rPr>
          <w:rFonts w:ascii="Arial" w:hAnsi="Arial" w:cs="Arial"/>
          <w:iCs/>
          <w:sz w:val="20"/>
          <w:szCs w:val="20"/>
        </w:rPr>
      </w:pPr>
      <w:r>
        <w:rPr>
          <w:rFonts w:cs="Arial" w:ascii="Arial" w:hAnsi="Arial"/>
          <w:iCs/>
          <w:sz w:val="20"/>
          <w:szCs w:val="20"/>
        </w:rPr>
      </w:r>
    </w:p>
    <w:p>
      <w:pPr>
        <w:pStyle w:val="Normal"/>
        <w:rPr>
          <w:rFonts w:ascii="Arial" w:hAnsi="Arial" w:cs="Arial"/>
          <w:iCs/>
          <w:sz w:val="20"/>
          <w:szCs w:val="20"/>
        </w:rPr>
      </w:pPr>
      <w:r>
        <w:rPr>
          <w:rFonts w:cs="Arial" w:ascii="Arial" w:hAnsi="Arial"/>
          <w:iCs/>
          <w:sz w:val="20"/>
          <w:szCs w:val="20"/>
        </w:rPr>
      </w:r>
    </w:p>
    <w:p>
      <w:pPr>
        <w:pStyle w:val="Normal"/>
        <w:rPr>
          <w:rFonts w:ascii="Arial" w:hAnsi="Arial" w:cs="Arial"/>
          <w:iCs/>
          <w:sz w:val="20"/>
          <w:szCs w:val="20"/>
        </w:rPr>
      </w:pPr>
      <w:r>
        <w:rPr>
          <w:rFonts w:cs="Arial" w:ascii="Arial" w:hAnsi="Arial"/>
          <w:iCs/>
          <w:sz w:val="20"/>
          <w:szCs w:val="20"/>
        </w:rPr>
      </w:r>
    </w:p>
    <w:p>
      <w:pPr>
        <w:pStyle w:val="Normal"/>
        <w:rPr>
          <w:rFonts w:ascii="Arial" w:hAnsi="Arial" w:cs="Arial"/>
          <w:iCs/>
          <w:sz w:val="20"/>
          <w:szCs w:val="20"/>
        </w:rPr>
      </w:pPr>
      <w:r>
        <w:rPr>
          <w:rFonts w:cs="Arial" w:ascii="Arial" w:hAnsi="Arial"/>
          <w:iCs/>
          <w:sz w:val="20"/>
          <w:szCs w:val="20"/>
        </w:rPr>
      </w:r>
    </w:p>
    <w:sectPr>
      <w:type w:val="nextPage"/>
      <w:pgSz w:w="11906" w:h="16838"/>
      <w:pgMar w:left="1080" w:right="108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decimal"/>
      <w:lvlText w:val="%1."/>
      <w:lvlJc w:val="left"/>
      <w:pPr>
        <w:tabs>
          <w:tab w:val="num" w:pos="0"/>
        </w:tabs>
        <w:ind w:left="360" w:hanging="360"/>
      </w:pPr>
      <w:rPr>
        <w:b w:val="false"/>
        <w:bCs w:val="false"/>
      </w:rPr>
    </w:lvl>
    <w:lvl w:ilvl="1">
      <w:start w:val="0"/>
      <w:numFmt w:val="bullet"/>
      <w:lvlText w:val="-"/>
      <w:lvlJc w:val="left"/>
      <w:pPr>
        <w:tabs>
          <w:tab w:val="num" w:pos="0"/>
        </w:tabs>
        <w:ind w:left="1080" w:hanging="360"/>
      </w:pPr>
      <w:rPr>
        <w:rFonts w:ascii="Arial" w:hAnsi="Arial" w:cs="Arial" w:hint="default"/>
        <w:rFonts w:eastAsiaTheme="minorHAnsi"/>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nl-NL" w:eastAsia="en-US" w:bidi="ar-SA"/>
    </w:rPr>
  </w:style>
  <w:style w:type="character" w:styleId="DefaultParagraphFont" w:default="1">
    <w:name w:val="Default Paragraph Font"/>
    <w:uiPriority w:val="1"/>
    <w:semiHidden/>
    <w:unhideWhenUsed/>
    <w:qFormat/>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Kopuser">
    <w:name w:val="Kop (user)"/>
    <w:basedOn w:val="Normal"/>
    <w:next w:val="BodyText"/>
    <w:qFormat/>
    <w:pPr>
      <w:keepNext w:val="true"/>
      <w:spacing w:before="240" w:after="120"/>
    </w:pPr>
    <w:rPr>
      <w:rFonts w:ascii="Liberation Sans" w:hAnsi="Liberation Sans" w:eastAsia="Microsoft YaHei" w:cs="Arial"/>
      <w:sz w:val="28"/>
      <w:szCs w:val="28"/>
    </w:rPr>
  </w:style>
  <w:style w:type="paragraph" w:styleId="ListParagraph">
    <w:name w:val="List Paragraph"/>
    <w:basedOn w:val="Normal"/>
    <w:uiPriority w:val="34"/>
    <w:qFormat/>
    <w:rsid w:val="00035fb2"/>
    <w:pPr>
      <w:spacing w:before="0" w:after="0"/>
      <w:ind w:left="720"/>
      <w:contextualSpacing/>
    </w:pPr>
    <w:rPr/>
  </w:style>
  <w:style w:type="paragraph" w:styleId="ListBullet">
    <w:name w:val="List Bullet"/>
    <w:basedOn w:val="Normal"/>
    <w:pPr>
      <w:numPr>
        <w:ilvl w:val="0"/>
        <w:numId w:val="1"/>
      </w:numPr>
      <w:spacing w:before="0" w:after="200"/>
      <w:contextualSpacing/>
    </w:pPr>
    <w:rPr/>
  </w:style>
  <w:style w:type="paragraph" w:styleId="ListNumber">
    <w:name w:val="List Number"/>
    <w:basedOn w:val="Normal"/>
    <w:pPr>
      <w:numPr>
        <w:ilvl w:val="0"/>
        <w:numId w:val="4"/>
      </w:numPr>
      <w:spacing w:before="0" w:after="200"/>
      <w:contextualSpacing/>
    </w:pPr>
    <w:rPr/>
  </w:style>
  <w:style w:type="numbering" w:styleId="Geenlijst" w:default="1">
    <w:name w:val="Geen lij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39"/>
    <w:rsid w:val="00035fb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4d6cdc-bf98-492f-be46-137ae716298a">
      <Terms xmlns="http://schemas.microsoft.com/office/infopath/2007/PartnerControls"/>
    </lcf76f155ced4ddcb4097134ff3c332f>
    <TaxCatchAll xmlns="5f069454-9325-4b28-b997-66e2f907d8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19B11D389E7841BD242B68B556E739" ma:contentTypeVersion="10" ma:contentTypeDescription="Een nieuw document maken." ma:contentTypeScope="" ma:versionID="0cfd59529d0878093ad5f6e43893eac1">
  <xsd:schema xmlns:xsd="http://www.w3.org/2001/XMLSchema" xmlns:xs="http://www.w3.org/2001/XMLSchema" xmlns:p="http://schemas.microsoft.com/office/2006/metadata/properties" xmlns:ns2="314d6cdc-bf98-492f-be46-137ae716298a" xmlns:ns3="5f069454-9325-4b28-b997-66e2f907d88a" targetNamespace="http://schemas.microsoft.com/office/2006/metadata/properties" ma:root="true" ma:fieldsID="cb76b64345b2d3e831d062d6f2504a81" ns2:_="" ns3:_="">
    <xsd:import namespace="314d6cdc-bf98-492f-be46-137ae716298a"/>
    <xsd:import namespace="5f069454-9325-4b28-b997-66e2f907d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d6cdc-bf98-492f-be46-137ae7162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4509f77-5391-4683-bd29-f7724ca39a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069454-9325-4b28-b997-66e2f907d8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006bc4-5ff1-4593-a411-eb7e17b93559}" ma:internalName="TaxCatchAll" ma:showField="CatchAllData" ma:web="5f069454-9325-4b28-b997-66e2f907d8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BA0D80-A5AA-4491-B37A-AB074ED403A5}">
  <ds:schemaRefs>
    <ds:schemaRef ds:uri="http://schemas.microsoft.com/office/2006/metadata/properties"/>
    <ds:schemaRef ds:uri="http://schemas.microsoft.com/office/infopath/2007/PartnerControls"/>
    <ds:schemaRef ds:uri="314d6cdc-bf98-492f-be46-137ae716298a"/>
    <ds:schemaRef ds:uri="5f069454-9325-4b28-b997-66e2f907d88a"/>
  </ds:schemaRefs>
</ds:datastoreItem>
</file>

<file path=customXml/itemProps2.xml><?xml version="1.0" encoding="utf-8"?>
<ds:datastoreItem xmlns:ds="http://schemas.openxmlformats.org/officeDocument/2006/customXml" ds:itemID="{1E8E68EB-76FC-4C6C-BC97-9E68D29419E7}">
  <ds:schemaRefs>
    <ds:schemaRef ds:uri="http://schemas.microsoft.com/sharepoint/v3/contenttype/forms"/>
  </ds:schemaRefs>
</ds:datastoreItem>
</file>

<file path=customXml/itemProps3.xml><?xml version="1.0" encoding="utf-8"?>
<ds:datastoreItem xmlns:ds="http://schemas.openxmlformats.org/officeDocument/2006/customXml" ds:itemID="{03331832-CA52-4941-9DB7-90B36C885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d6cdc-bf98-492f-be46-137ae716298a"/>
    <ds:schemaRef ds:uri="5f069454-9325-4b28-b997-66e2f907d8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Application>LibreOffice/24.8.7.2$Windows_X86_64 LibreOffice_project/e07d0a63a46349d29051da79b1fde8160bab2a89</Application>
  <AppVersion>15.0000</AppVersion>
  <Pages>2</Pages>
  <Words>877</Words>
  <Characters>5608</Characters>
  <CharactersWithSpaces>6432</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2021-11-22T13:01:00Z</dcterms:created>
  <dc:creator/>
  <dc:description/>
  <dc:language>nl-NL</dc:language>
  <cp:lastModifiedBy/>
  <cp:lastPrinted>2026-10-01T14:32:22Z</cp:lastPrinted>
  <dcterms:modified xsi:type="dcterms:W3CDTF">2026-10-18T15:01:40Z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0x0101009E19B11D389E7841BD242B68B556E739</vt:lpwstr>
  </property>
  <property fmtid="{D5CDD505-2E9C-101B-9397-08002B2CF9AE}" pid="3" name="MediaServiceImageTags">
    <vt:lpwstr/>
  </property>
  <property fmtid="{D5CDD505-2E9C-101B-9397-08002B2CF9AE}" pid="4" name="Order">
    <vt:r8>1712800</vt:r8>
  </property>
</Properties>
</file>